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北京市大兴区融媒体中心</w:t>
      </w:r>
    </w:p>
    <w:p>
      <w:pPr>
        <w:jc w:val="center"/>
        <w:rPr>
          <w:rFonts w:ascii="黑体" w:eastAsia="黑体"/>
          <w:sz w:val="72"/>
          <w:szCs w:val="72"/>
        </w:rPr>
      </w:pPr>
      <w:bookmarkStart w:id="0" w:name="_GoBack"/>
      <w:bookmarkEnd w:id="0"/>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说明</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b/>
          <w:bCs/>
          <w:spacing w:val="40"/>
          <w:kern w:val="0"/>
          <w:sz w:val="32"/>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cs="宋体"/>
          <w:b/>
          <w:bCs/>
          <w:spacing w:val="40"/>
          <w:kern w:val="0"/>
          <w:sz w:val="44"/>
          <w:szCs w:val="44"/>
        </w:rPr>
      </w:pPr>
      <w:r>
        <w:rPr>
          <w:rFonts w:hint="eastAsia" w:ascii="宋体" w:hAnsi="宋体" w:cs="宋体"/>
          <w:b/>
          <w:bCs/>
          <w:spacing w:val="40"/>
          <w:kern w:val="0"/>
          <w:sz w:val="44"/>
          <w:szCs w:val="44"/>
        </w:rPr>
        <w:t>第二部分 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年度部门决算说明</w:t>
      </w:r>
    </w:p>
    <w:p>
      <w:pPr>
        <w:pStyle w:val="2"/>
        <w:rPr>
          <w:rFonts w:hint="eastAsia"/>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640" w:firstLineChars="200"/>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lang w:eastAsia="zh-CN"/>
        </w:rPr>
        <w:t>（</w:t>
      </w:r>
      <w:r>
        <w:rPr>
          <w:rFonts w:hint="eastAsia" w:ascii="楷体_GB2312" w:hAnsi="楷体_GB2312" w:eastAsia="楷体_GB2312" w:cs="楷体_GB2312"/>
          <w:b/>
          <w:bCs/>
          <w:kern w:val="0"/>
          <w:sz w:val="32"/>
          <w:szCs w:val="32"/>
          <w:lang w:val="en-US" w:eastAsia="zh-CN"/>
        </w:rPr>
        <w:t>一</w:t>
      </w:r>
      <w:r>
        <w:rPr>
          <w:rFonts w:hint="eastAsia" w:ascii="楷体_GB2312" w:hAnsi="楷体_GB2312" w:eastAsia="楷体_GB2312" w:cs="楷体_GB2312"/>
          <w:b/>
          <w:bCs/>
          <w:kern w:val="0"/>
          <w:sz w:val="32"/>
          <w:szCs w:val="32"/>
          <w:lang w:eastAsia="zh-CN"/>
        </w:rPr>
        <w:t>）</w:t>
      </w:r>
      <w:r>
        <w:rPr>
          <w:rFonts w:hint="eastAsia" w:ascii="楷体_GB2312" w:hAnsi="楷体_GB2312" w:eastAsia="楷体_GB2312" w:cs="楷体_GB2312"/>
          <w:b/>
          <w:bCs/>
          <w:kern w:val="0"/>
          <w:sz w:val="32"/>
          <w:szCs w:val="32"/>
        </w:rPr>
        <w:t>机构设置情况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办公室（编制4名）。负责中心文电处理、会议组织、保密机要、信息报送、理论中心组学习、提案办理等工作；完成其它临时性工作。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后勤保障科（编制6名）。负责中心日常运转，后勤组织、协调和办理保障工作；固定资产清登、报废等相关管理工作；负责编制中心基础设施建设项目计划；负责中心基础设施设备的维修、维护、检测工作；负责中心安全及公用车辆使用管理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总编室（编制11名）。负责统筹选题策划、采访资源协调，内容监制和发布内容评价、舆情应对等工作；负责与市属及区外媒体、央视、北京台等新闻中心的信息联络；完成其它临时性工作。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采访一部（编制11名）。负责大兴区时政新闻的采访工作；按照要求完成时政新闻、时政栏目等稿件撰写、视频粗编、图片拍摄等基础工作，实现“一次采集”；完成其它临时性工作。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采访二部（编制11名）。负责大兴区民生新闻的采访工作；按照要求完成民生新闻、民生栏目等稿件撰写、视频粗编、图片拍摄等基础工作，实现“一次采集”；完成其它临时性工作。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新媒体部（编制11名）。负责两微一端等新媒体的内容编发；负责各平台稿件上传工作；负责专题片和短视频方面的制作；按照要求完成各类专题节目的采制工作，新媒体短视频的拍摄剪辑；负责视觉设计包装、动画制作、公益短片和短视频的包装制作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编发一部（编制6名）。负责广播、电视新闻节目的内容编发；负责《大兴报》的版面内容编发、排版，稿件的修改、校对完成等工作；完成其它临时性工作。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编发二部（编制11名）。负责广播自制节目的播音和制作工作；负责引进广播节目的编辑、制作、上传工作；完成其它临时性工作。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联络推广部（编制6名）。负责区内、区外相关部门的公共关系工作；负责做好“北京大兴APP”等新媒体的宣传推广工作；负责全媒体渠道各类数据的统计、监测与舆情分析，及时反馈重点内容的监控结果；负责《大兴报》印刷、发行的相关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媒资管理部（编制3名）。负责媒体视频资料、文字、图片、样刊等资料的整理存储；负责各种媒体资料的使用、登记、查找、签收签发；负责相关视频的全程录制、编辑；负责各类非自办节目的引进；负责中心各类拍摄用磁带的供应；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技术发展部（编制6名）。负责中心技术工程项目设计、实施，中心技术设备采购；负责中心采访设备、采编制作设备、系统平台、业务网络、数据机房、演播室管理和维护；配合市局监测中心应对非法信号监测任务；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制作播出部（编制11名）。负责中心新闻栏目、访谈栏目、两微一端与后期制作融合；电视及融媒网络平台直播导播、融媒体演播室主持人形象妆容管理；融媒体演播室日常使用具体工作；各频道节目编单入库；引进电视节目的编辑制作等工作；公共服务咨询类节目内容的编辑和上传等工作；负责广播、电视47频道、资讯频道和北京电视台公共九频道的日常安全播控工作；广播电视输入输出信号监听监视；转播北京新闻和新闻联播；播出机房发射机房设备日常巡视管理等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13.</w:t>
      </w:r>
      <w:r>
        <w:rPr>
          <w:rFonts w:hint="eastAsia" w:ascii="仿宋_GB2312" w:hAnsi="仿宋_GB2312" w:eastAsia="仿宋_GB2312" w:cs="仿宋_GB2312"/>
          <w:sz w:val="28"/>
          <w:szCs w:val="28"/>
        </w:rPr>
        <w:t>人事教育科（编制6名）。负责中心日常党务工作；抓好干部队伍培训和建设工作；负责党群工作；负责中心机构编制、人事、劳资、退休人员等工作；负责中心存档资料管理及查阅工作；负责中心公章使用及管理工作；完成其它临时性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内部审计科（编制3名）。负责中心内部审计的监督和风险防范作用，保障中心财务运行、各项经济业务活动、内部控制制度规范运行；完成其它临时性工作。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财务管理科（编制3名）。负责编制年度财务收支预决算工作；负责中心日常财务管理工作；负责整理会计信息资料和上报各类财务报表；负责管理中心的现金和银行账户；负责中心的固定资产总账；负责中心财务档案的管理工作；完成其他临时性工作。</w:t>
      </w:r>
    </w:p>
    <w:p>
      <w:pPr>
        <w:tabs>
          <w:tab w:val="center" w:pos="6979"/>
        </w:tabs>
        <w:spacing w:line="580" w:lineRule="exact"/>
        <w:ind w:firstLine="640" w:firstLineChars="200"/>
        <w:rPr>
          <w:rFonts w:hint="eastAsia" w:ascii="楷体_GB2312" w:hAnsi="楷体_GB2312" w:eastAsia="楷体_GB2312" w:cs="楷体_GB2312"/>
          <w:b/>
          <w:bCs/>
          <w:kern w:val="0"/>
          <w:sz w:val="32"/>
          <w:szCs w:val="32"/>
          <w:lang w:eastAsia="zh-CN"/>
        </w:rPr>
      </w:pPr>
      <w:r>
        <w:rPr>
          <w:rFonts w:hint="eastAsia" w:ascii="楷体_GB2312" w:hAnsi="楷体_GB2312" w:eastAsia="楷体_GB2312" w:cs="楷体_GB2312"/>
          <w:b/>
          <w:bCs/>
          <w:kern w:val="0"/>
          <w:sz w:val="32"/>
          <w:szCs w:val="32"/>
          <w:lang w:eastAsia="zh-CN"/>
        </w:rPr>
        <w:t>（</w:t>
      </w:r>
      <w:r>
        <w:rPr>
          <w:rFonts w:hint="eastAsia" w:ascii="楷体_GB2312" w:hAnsi="楷体_GB2312" w:eastAsia="楷体_GB2312" w:cs="楷体_GB2312"/>
          <w:b/>
          <w:bCs/>
          <w:kern w:val="0"/>
          <w:sz w:val="32"/>
          <w:szCs w:val="32"/>
          <w:lang w:val="en-US" w:eastAsia="zh-CN"/>
        </w:rPr>
        <w:t>二</w:t>
      </w:r>
      <w:r>
        <w:rPr>
          <w:rFonts w:hint="eastAsia" w:ascii="楷体_GB2312" w:hAnsi="楷体_GB2312" w:eastAsia="楷体_GB2312" w:cs="楷体_GB2312"/>
          <w:b/>
          <w:bCs/>
          <w:kern w:val="0"/>
          <w:sz w:val="32"/>
          <w:szCs w:val="32"/>
          <w:lang w:eastAsia="zh-CN"/>
        </w:rPr>
        <w:t>）</w:t>
      </w:r>
      <w:r>
        <w:rPr>
          <w:rFonts w:hint="eastAsia" w:ascii="楷体_GB2312" w:hAnsi="楷体_GB2312" w:eastAsia="楷体_GB2312" w:cs="楷体_GB2312"/>
          <w:b/>
          <w:bCs/>
          <w:kern w:val="0"/>
          <w:sz w:val="32"/>
          <w:szCs w:val="32"/>
        </w:rPr>
        <w:t>本部门职责</w:t>
      </w:r>
      <w:r>
        <w:rPr>
          <w:rFonts w:hint="eastAsia" w:ascii="楷体_GB2312" w:hAnsi="楷体_GB2312" w:eastAsia="楷体_GB2312" w:cs="楷体_GB2312"/>
          <w:b/>
          <w:bCs/>
          <w:kern w:val="0"/>
          <w:sz w:val="32"/>
          <w:szCs w:val="32"/>
          <w:lang w:eastAsia="zh-CN"/>
        </w:rPr>
        <w:t>：</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宣传贯彻习近平新时代中国特色社会主义思想，坚持正确的舆论导向，宣传好党和国家路线方针政策和相关法律法规。</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围绕国家、市级重大活动、重要会议和区委、区政府中心工作等进行主题策划，开展宣传报道，营造舆论氛围。</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负责推动传统媒体与新媒体有机融合，生产多元化融媒产品，依托两微一端等融媒平台，整合区域公共媒体相关机构职责，打造全媒体矩阵，不断提高新闻舆论传播力、引导力、影响力、公信力。</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负责中央和</w:t>
      </w:r>
      <w:r>
        <w:rPr>
          <w:rFonts w:hint="eastAsia" w:eastAsia="仿宋_GB2312" w:cs="仿宋_GB2312"/>
          <w:sz w:val="28"/>
          <w:szCs w:val="28"/>
        </w:rPr>
        <w:t>市</w:t>
      </w:r>
      <w:r>
        <w:rPr>
          <w:rFonts w:hint="eastAsia" w:ascii="仿宋_GB2312" w:hAnsi="仿宋_GB2312" w:eastAsia="仿宋_GB2312" w:cs="仿宋_GB2312"/>
          <w:sz w:val="28"/>
          <w:szCs w:val="28"/>
        </w:rPr>
        <w:t>级广播电视节目转播工作；广播电视节目的发射、无线覆盖工作；贯彻落实广播电视行业技术标准，负责广播电视技术维护及广播电视安全播出工作。</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完成区委、区政府交办的其他任务。</w:t>
      </w:r>
    </w:p>
    <w:p>
      <w:pPr>
        <w:spacing w:line="560" w:lineRule="exact"/>
        <w:ind w:firstLine="560" w:firstLineChars="200"/>
        <w:rPr>
          <w:rFonts w:hint="eastAsia" w:ascii="仿宋_GB2312" w:eastAsia="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职能转变。区融媒体中心按照“全程媒体、全息媒体、全员媒体、全效媒体”这一全新形势要求，拓展工作内容和范围，按照“新闻+政务”“新闻+服务”等运行模式，开展数据和舆情分析，为城市管理、社会治理、政府决策提供依据，做好新闻宣传、舆论引导，为社区、政府、社会提供综合信息服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hint="eastAsia" w:ascii="仿宋_GB2312" w:eastAsia="仿宋_GB2312"/>
          <w:sz w:val="28"/>
          <w:szCs w:val="28"/>
          <w:lang w:eastAsia="zh-CN"/>
        </w:rPr>
        <w:t>、</w:t>
      </w:r>
      <w:r>
        <w:rPr>
          <w:rFonts w:hint="eastAsia" w:ascii="仿宋_GB2312" w:eastAsia="仿宋_GB2312"/>
          <w:sz w:val="28"/>
          <w:szCs w:val="28"/>
          <w:lang w:val="en-US" w:eastAsia="zh-CN"/>
        </w:rPr>
        <w:t>支</w:t>
      </w:r>
      <w:r>
        <w:rPr>
          <w:rFonts w:hint="eastAsia" w:ascii="仿宋_GB2312" w:eastAsia="仿宋_GB2312"/>
          <w:sz w:val="28"/>
          <w:szCs w:val="28"/>
        </w:rPr>
        <w:t>总计6300.3</w:t>
      </w:r>
      <w:r>
        <w:rPr>
          <w:rFonts w:hint="eastAsia" w:ascii="仿宋_GB2312" w:eastAsia="仿宋_GB2312"/>
          <w:sz w:val="28"/>
          <w:szCs w:val="28"/>
          <w:lang w:val="en-US" w:eastAsia="zh-CN"/>
        </w:rPr>
        <w:t>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64.15</w:t>
      </w:r>
      <w:r>
        <w:rPr>
          <w:rFonts w:hint="eastAsia" w:ascii="仿宋_GB2312" w:eastAsia="仿宋_GB2312"/>
          <w:sz w:val="28"/>
          <w:szCs w:val="28"/>
        </w:rPr>
        <w:t>万元，下降</w:t>
      </w:r>
      <w:r>
        <w:rPr>
          <w:rFonts w:hint="eastAsia" w:ascii="仿宋_GB2312" w:eastAsia="仿宋_GB2312"/>
          <w:sz w:val="28"/>
          <w:szCs w:val="28"/>
          <w:lang w:val="en-US" w:eastAsia="zh-CN"/>
        </w:rPr>
        <w:t>1.02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5885.17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447.97</w:t>
      </w:r>
      <w:r>
        <w:rPr>
          <w:rFonts w:hint="eastAsia" w:ascii="仿宋_GB2312" w:eastAsia="仿宋_GB2312"/>
          <w:sz w:val="28"/>
          <w:szCs w:val="28"/>
        </w:rPr>
        <w:t>万元，下降</w:t>
      </w:r>
      <w:r>
        <w:rPr>
          <w:rFonts w:hint="eastAsia" w:ascii="仿宋_GB2312" w:eastAsia="仿宋_GB2312"/>
          <w:sz w:val="28"/>
          <w:szCs w:val="28"/>
          <w:lang w:val="en-US" w:eastAsia="zh-CN"/>
        </w:rPr>
        <w:t>7.61</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5875.97</w:t>
      </w:r>
      <w:r>
        <w:rPr>
          <w:rFonts w:hint="eastAsia" w:ascii="仿宋_GB2312" w:eastAsia="仿宋_GB2312"/>
          <w:sz w:val="28"/>
          <w:szCs w:val="28"/>
        </w:rPr>
        <w:t>万元，占收入合计的</w:t>
      </w:r>
      <w:r>
        <w:rPr>
          <w:rFonts w:hint="eastAsia" w:ascii="仿宋_GB2312" w:eastAsia="仿宋_GB2312"/>
          <w:sz w:val="28"/>
          <w:szCs w:val="28"/>
          <w:lang w:eastAsia="zh-CN"/>
        </w:rPr>
        <w:t>99.84%。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5875.97</w:t>
      </w:r>
      <w:r>
        <w:rPr>
          <w:rFonts w:hint="eastAsia" w:ascii="仿宋_GB2312" w:eastAsia="仿宋_GB2312"/>
          <w:sz w:val="28"/>
          <w:szCs w:val="28"/>
        </w:rPr>
        <w:t>万元，占收入合计的</w:t>
      </w:r>
      <w:r>
        <w:rPr>
          <w:rFonts w:hint="eastAsia" w:ascii="仿宋_GB2312" w:eastAsia="仿宋_GB2312"/>
          <w:sz w:val="28"/>
          <w:szCs w:val="28"/>
          <w:lang w:eastAsia="zh-CN"/>
        </w:rPr>
        <w:t>99.84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9.2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0.16</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6259.79</w:t>
      </w:r>
      <w:r>
        <w:rPr>
          <w:rFonts w:hint="eastAsia" w:ascii="仿宋_GB2312" w:eastAsia="仿宋_GB2312"/>
          <w:sz w:val="28"/>
          <w:szCs w:val="28"/>
        </w:rPr>
        <w:t>万元，比上年减少</w:t>
      </w:r>
      <w:r>
        <w:rPr>
          <w:rFonts w:hint="eastAsia" w:ascii="仿宋_GB2312" w:eastAsia="仿宋_GB2312"/>
          <w:sz w:val="28"/>
          <w:szCs w:val="28"/>
          <w:lang w:val="en-US" w:eastAsia="zh-CN"/>
        </w:rPr>
        <w:t>73.35</w:t>
      </w:r>
      <w:r>
        <w:rPr>
          <w:rFonts w:hint="eastAsia" w:ascii="仿宋_GB2312" w:eastAsia="仿宋_GB2312"/>
          <w:sz w:val="28"/>
          <w:szCs w:val="28"/>
        </w:rPr>
        <w:t>万元，下降</w:t>
      </w:r>
      <w:r>
        <w:rPr>
          <w:rFonts w:hint="eastAsia" w:ascii="仿宋_GB2312" w:eastAsia="仿宋_GB2312"/>
          <w:sz w:val="28"/>
          <w:szCs w:val="28"/>
          <w:lang w:val="en-US" w:eastAsia="zh-CN"/>
        </w:rPr>
        <w:t>1.16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1"/>
        </w:num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基本支</w:t>
      </w:r>
      <w:r>
        <w:rPr>
          <w:rFonts w:hint="eastAsia" w:ascii="仿宋_GB2312" w:eastAsia="仿宋_GB2312"/>
          <w:sz w:val="28"/>
          <w:szCs w:val="28"/>
          <w:highlight w:val="none"/>
        </w:rPr>
        <w:t>出</w:t>
      </w:r>
      <w:r>
        <w:rPr>
          <w:rFonts w:ascii="仿宋_GB2312" w:eastAsia="仿宋_GB2312"/>
          <w:sz w:val="28"/>
          <w:szCs w:val="28"/>
          <w:highlight w:val="none"/>
        </w:rPr>
        <w:t>4018.81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64.2</w:t>
      </w:r>
      <w:r>
        <w:rPr>
          <w:rFonts w:hint="eastAsia" w:ascii="仿宋_GB2312" w:eastAsia="仿宋_GB2312"/>
          <w:sz w:val="28"/>
          <w:szCs w:val="28"/>
          <w:highlight w:val="none"/>
        </w:rPr>
        <w:t>%；</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项目支出</w:t>
      </w:r>
      <w:r>
        <w:rPr>
          <w:rFonts w:ascii="仿宋_GB2312" w:eastAsia="仿宋_GB2312"/>
          <w:sz w:val="28"/>
          <w:szCs w:val="28"/>
          <w:highlight w:val="none"/>
        </w:rPr>
        <w:t>2240.97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35.8</w:t>
      </w:r>
      <w:r>
        <w:rPr>
          <w:rFonts w:hint="eastAsia" w:ascii="仿宋_GB2312" w:eastAsia="仿宋_GB2312"/>
          <w:sz w:val="28"/>
          <w:szCs w:val="28"/>
          <w:highlight w:val="none"/>
        </w:rPr>
        <w:t>%;</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2024年度财政拨款收</w:t>
      </w:r>
      <w:r>
        <w:rPr>
          <w:rFonts w:hint="eastAsia" w:ascii="仿宋_GB2312" w:eastAsia="仿宋_GB2312"/>
          <w:sz w:val="28"/>
          <w:szCs w:val="28"/>
          <w:lang w:eastAsia="zh-CN"/>
        </w:rPr>
        <w:t>、</w:t>
      </w:r>
      <w:r>
        <w:rPr>
          <w:rFonts w:hint="eastAsia" w:ascii="仿宋_GB2312" w:eastAsia="仿宋_GB2312"/>
          <w:sz w:val="28"/>
          <w:szCs w:val="28"/>
        </w:rPr>
        <w:t>支总计</w:t>
      </w:r>
      <w:r>
        <w:rPr>
          <w:rFonts w:hint="eastAsia" w:ascii="仿宋_GB2312" w:eastAsia="仿宋_GB2312"/>
          <w:sz w:val="28"/>
          <w:szCs w:val="28"/>
          <w:lang w:val="en-US" w:eastAsia="zh-CN"/>
        </w:rPr>
        <w:t>6259.79</w:t>
      </w:r>
      <w:r>
        <w:rPr>
          <w:rFonts w:hint="eastAsia" w:ascii="仿宋_GB2312" w:eastAsia="仿宋_GB2312"/>
          <w:sz w:val="28"/>
          <w:szCs w:val="28"/>
        </w:rPr>
        <w:t>万元，比上年减少</w:t>
      </w:r>
      <w:r>
        <w:rPr>
          <w:rFonts w:hint="eastAsia" w:ascii="仿宋_GB2312" w:eastAsia="仿宋_GB2312"/>
          <w:sz w:val="28"/>
          <w:szCs w:val="28"/>
          <w:lang w:val="en-US" w:eastAsia="zh-CN"/>
        </w:rPr>
        <w:t>73.35</w:t>
      </w:r>
      <w:r>
        <w:rPr>
          <w:rFonts w:hint="eastAsia" w:ascii="仿宋_GB2312" w:eastAsia="仿宋_GB2312"/>
          <w:sz w:val="28"/>
          <w:szCs w:val="28"/>
        </w:rPr>
        <w:t>万元，下降</w:t>
      </w:r>
      <w:r>
        <w:rPr>
          <w:rFonts w:hint="eastAsia" w:ascii="仿宋_GB2312" w:eastAsia="仿宋_GB2312"/>
          <w:sz w:val="28"/>
          <w:szCs w:val="28"/>
          <w:lang w:val="en-US" w:eastAsia="zh-CN"/>
        </w:rPr>
        <w:t>1.16</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6259.79</w:t>
      </w:r>
      <w:r>
        <w:rPr>
          <w:rFonts w:hint="eastAsia" w:ascii="仿宋_GB2312" w:eastAsia="仿宋_GB2312"/>
          <w:sz w:val="28"/>
          <w:szCs w:val="28"/>
        </w:rPr>
        <w:t>万元，主要用于以下方面（按大类）：</w:t>
      </w:r>
      <w:r>
        <w:rPr>
          <w:rFonts w:hint="eastAsia" w:ascii="仿宋_GB2312" w:eastAsia="仿宋_GB2312"/>
          <w:sz w:val="28"/>
          <w:szCs w:val="28"/>
          <w:highlight w:val="none"/>
        </w:rPr>
        <w:t>文化旅游体育与传媒支出</w:t>
      </w:r>
      <w:r>
        <w:rPr>
          <w:rFonts w:hint="eastAsia" w:ascii="仿宋_GB2312" w:eastAsia="仿宋_GB2312"/>
          <w:sz w:val="28"/>
          <w:szCs w:val="28"/>
          <w:highlight w:val="none"/>
          <w:lang w:val="en-US" w:eastAsia="zh-CN"/>
        </w:rPr>
        <w:t>5112.64</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81.67</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461.22</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7.37</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302.11</w:t>
      </w:r>
      <w:r>
        <w:rPr>
          <w:rFonts w:hint="eastAsia" w:ascii="仿宋_GB2312" w:eastAsia="仿宋_GB2312"/>
          <w:sz w:val="28"/>
          <w:szCs w:val="28"/>
          <w:highlight w:val="none"/>
        </w:rPr>
        <w:t>万元，占本年财政拨款支出4.</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3%</w:t>
      </w: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lang w:val="en-US" w:eastAsia="zh-CN"/>
        </w:rPr>
        <w:t>383.82，占本年财政拨款支出6.13%</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“文化旅游体育与传媒支出</w:t>
      </w:r>
      <w:r>
        <w:rPr>
          <w:rFonts w:hint="eastAsia" w:ascii="仿宋_GB2312" w:eastAsia="仿宋_GB2312"/>
          <w:sz w:val="28"/>
          <w:szCs w:val="28"/>
        </w:rPr>
        <w:t>”（类）</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度年初预算</w:t>
      </w:r>
      <w:r>
        <w:rPr>
          <w:rFonts w:hint="eastAsia" w:ascii="仿宋_GB2312" w:eastAsia="仿宋_GB2312"/>
          <w:sz w:val="28"/>
          <w:szCs w:val="28"/>
          <w:lang w:val="en-US" w:eastAsia="zh-CN"/>
        </w:rPr>
        <w:t>4792.49万元，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5112.64</w:t>
      </w:r>
      <w:r>
        <w:rPr>
          <w:rFonts w:hint="eastAsia" w:ascii="仿宋_GB2312" w:eastAsia="仿宋_GB2312"/>
          <w:sz w:val="28"/>
          <w:szCs w:val="28"/>
        </w:rPr>
        <w:t>万元，</w:t>
      </w:r>
      <w:r>
        <w:rPr>
          <w:rFonts w:hint="eastAsia" w:ascii="仿宋_GB2312" w:eastAsia="仿宋_GB2312"/>
          <w:sz w:val="28"/>
          <w:szCs w:val="28"/>
          <w:lang w:val="en-US" w:eastAsia="zh-CN"/>
        </w:rPr>
        <w:t>完成年初预算的106.68%</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文化旅游</w:t>
      </w:r>
      <w:r>
        <w:rPr>
          <w:rFonts w:hint="eastAsia" w:ascii="仿宋_GB2312" w:eastAsia="仿宋_GB2312"/>
          <w:sz w:val="28"/>
          <w:szCs w:val="28"/>
        </w:rPr>
        <w:t>”（款）</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1190.92</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9.08</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0.76</w:t>
      </w:r>
      <w:r>
        <w:rPr>
          <w:rFonts w:hint="eastAsia" w:ascii="仿宋_GB2312" w:eastAsia="仿宋_GB2312"/>
          <w:sz w:val="28"/>
          <w:szCs w:val="28"/>
        </w:rPr>
        <w:t>%。主要原因：</w:t>
      </w:r>
      <w:r>
        <w:rPr>
          <w:rFonts w:hint="eastAsia" w:ascii="仿宋_GB2312" w:eastAsia="仿宋_GB2312"/>
          <w:sz w:val="28"/>
          <w:szCs w:val="28"/>
          <w:lang w:val="en-US" w:eastAsia="zh-CN"/>
        </w:rPr>
        <w:t>依据中心实际情况，在签订执行合同后，产生部分结余资金</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eastAsia="zh-CN"/>
        </w:rPr>
        <w:t>“广播电视”（款）202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3921.72万元，</w:t>
      </w:r>
      <w:r>
        <w:rPr>
          <w:rFonts w:hint="eastAsia" w:ascii="仿宋_GB2312" w:eastAsia="仿宋_GB2312"/>
          <w:sz w:val="28"/>
          <w:szCs w:val="28"/>
        </w:rPr>
        <w:t>比</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329.23万元，增长9.16%。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增加大兴区融媒体中心超高清制作系统扩容项目、大兴区城市形象宣传片制作项目等</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rPr>
        <w:t xml:space="preserve">”(类) </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度年初预算</w:t>
      </w:r>
      <w:r>
        <w:rPr>
          <w:rFonts w:hint="eastAsia" w:ascii="仿宋_GB2312" w:eastAsia="仿宋_GB2312"/>
          <w:sz w:val="28"/>
          <w:szCs w:val="28"/>
          <w:lang w:val="en-US" w:eastAsia="zh-CN"/>
        </w:rPr>
        <w:t>397.61万元，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461.22</w:t>
      </w:r>
      <w:r>
        <w:rPr>
          <w:rFonts w:hint="eastAsia" w:ascii="仿宋_GB2312" w:eastAsia="仿宋_GB2312"/>
          <w:sz w:val="28"/>
          <w:szCs w:val="28"/>
        </w:rPr>
        <w:t>万元，</w:t>
      </w:r>
      <w:r>
        <w:rPr>
          <w:rFonts w:hint="eastAsia" w:ascii="仿宋_GB2312" w:eastAsia="仿宋_GB2312"/>
          <w:sz w:val="28"/>
          <w:szCs w:val="28"/>
          <w:lang w:val="en-US" w:eastAsia="zh-CN"/>
        </w:rPr>
        <w:t>完成年初预算的116.00%</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w:t>
      </w:r>
      <w:r>
        <w:rPr>
          <w:rFonts w:hint="eastAsia" w:ascii="仿宋_GB2312" w:eastAsia="仿宋_GB2312"/>
          <w:sz w:val="28"/>
          <w:szCs w:val="28"/>
          <w:lang w:eastAsia="zh-CN"/>
        </w:rPr>
        <w:t>养老支出</w:t>
      </w:r>
      <w:r>
        <w:rPr>
          <w:rFonts w:hint="eastAsia" w:ascii="仿宋_GB2312" w:eastAsia="仿宋_GB2312"/>
          <w:sz w:val="28"/>
          <w:szCs w:val="28"/>
        </w:rPr>
        <w:t>”（款）</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461.22</w:t>
      </w:r>
      <w:r>
        <w:rPr>
          <w:rFonts w:hint="eastAsia" w:ascii="仿宋_GB2312" w:eastAsia="仿宋_GB2312"/>
          <w:sz w:val="28"/>
          <w:szCs w:val="28"/>
        </w:rPr>
        <w:t>万元，比</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度年初预算增加</w:t>
      </w:r>
      <w:r>
        <w:rPr>
          <w:rFonts w:hint="eastAsia" w:ascii="仿宋_GB2312" w:eastAsia="仿宋_GB2312"/>
          <w:sz w:val="28"/>
          <w:szCs w:val="28"/>
          <w:lang w:val="en-US" w:eastAsia="zh-CN"/>
        </w:rPr>
        <w:t>63.61</w:t>
      </w:r>
      <w:r>
        <w:rPr>
          <w:rFonts w:hint="eastAsia" w:ascii="仿宋_GB2312" w:eastAsia="仿宋_GB2312"/>
          <w:sz w:val="28"/>
          <w:szCs w:val="28"/>
        </w:rPr>
        <w:t>万元，增长</w:t>
      </w:r>
      <w:r>
        <w:rPr>
          <w:rFonts w:hint="eastAsia" w:ascii="仿宋_GB2312" w:eastAsia="仿宋_GB2312"/>
          <w:sz w:val="28"/>
          <w:szCs w:val="28"/>
          <w:lang w:val="en-US" w:eastAsia="zh-CN"/>
        </w:rPr>
        <w:t>16.00</w:t>
      </w:r>
      <w:r>
        <w:rPr>
          <w:rFonts w:hint="eastAsia" w:ascii="仿宋_GB2312" w:eastAsia="仿宋_GB2312"/>
          <w:sz w:val="28"/>
          <w:szCs w:val="28"/>
        </w:rPr>
        <w:t>%。主要原因：</w:t>
      </w:r>
      <w:r>
        <w:rPr>
          <w:rFonts w:hint="eastAsia" w:ascii="仿宋_GB2312" w:eastAsia="仿宋_GB2312"/>
          <w:sz w:val="28"/>
          <w:szCs w:val="28"/>
          <w:lang w:eastAsia="zh-CN"/>
        </w:rPr>
        <w:t>增加退休人员及社保基数调整</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度年初预算</w:t>
      </w:r>
      <w:r>
        <w:rPr>
          <w:rFonts w:hint="eastAsia" w:ascii="仿宋_GB2312" w:eastAsia="仿宋_GB2312"/>
          <w:sz w:val="28"/>
          <w:szCs w:val="28"/>
          <w:lang w:val="en-US" w:eastAsia="zh-CN"/>
        </w:rPr>
        <w:t>276.27万元，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280.71</w:t>
      </w:r>
      <w:r>
        <w:rPr>
          <w:rFonts w:hint="eastAsia" w:ascii="仿宋_GB2312" w:eastAsia="仿宋_GB2312"/>
          <w:sz w:val="28"/>
          <w:szCs w:val="28"/>
        </w:rPr>
        <w:t>万元，</w:t>
      </w:r>
      <w:r>
        <w:rPr>
          <w:rFonts w:hint="eastAsia" w:ascii="仿宋_GB2312" w:eastAsia="仿宋_GB2312"/>
          <w:sz w:val="28"/>
          <w:szCs w:val="28"/>
          <w:lang w:val="en-US" w:eastAsia="zh-CN"/>
        </w:rPr>
        <w:t>完成年初预算的101.61%</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“行政事业单位医疗”（款）</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280.71</w:t>
      </w:r>
      <w:r>
        <w:rPr>
          <w:rFonts w:hint="eastAsia" w:ascii="仿宋_GB2312" w:eastAsia="仿宋_GB2312"/>
          <w:sz w:val="28"/>
          <w:szCs w:val="28"/>
        </w:rPr>
        <w:t>万元，</w:t>
      </w:r>
      <w:r>
        <w:rPr>
          <w:rFonts w:hint="eastAsia" w:ascii="仿宋_GB2312" w:eastAsia="仿宋_GB2312"/>
          <w:sz w:val="28"/>
          <w:szCs w:val="28"/>
          <w:lang w:eastAsia="zh-CN"/>
        </w:rPr>
        <w:t>与202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25.84万元，增加9.35%，主要原因：保险基数调整。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黑体" w:eastAsia="黑体"/>
          <w:b/>
          <w:sz w:val="28"/>
          <w:szCs w:val="28"/>
          <w:lang w:val="en-US" w:eastAsia="zh-CN"/>
        </w:rPr>
      </w:pPr>
      <w:r>
        <w:rPr>
          <w:rFonts w:hint="eastAsia" w:ascii="仿宋_GB2312" w:eastAsia="仿宋_GB2312"/>
          <w:sz w:val="28"/>
          <w:szCs w:val="28"/>
          <w:lang w:val="en-US" w:eastAsia="zh-CN"/>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4018.81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其中：</w:t>
      </w:r>
      <w:r>
        <w:rPr>
          <w:rFonts w:hint="eastAsia" w:ascii="仿宋_GB2312" w:eastAsia="仿宋_GB2312"/>
          <w:sz w:val="28"/>
          <w:szCs w:val="28"/>
        </w:rPr>
        <w:t>（1）工资福利支出包括基本工资</w:t>
      </w:r>
      <w:r>
        <w:rPr>
          <w:rFonts w:ascii="仿宋_GB2312" w:eastAsia="仿宋_GB2312"/>
          <w:sz w:val="28"/>
          <w:szCs w:val="28"/>
        </w:rPr>
        <w:t>、津贴补贴、绩效工资</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办公费、水费、电费、邮电费、取暖费、物业管理费、差旅费、维修（护）费、培训费、委托业务费、工会经费、福利费、公务用车运行维护费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spacing w:before="156" w:beforeLines="50" w:after="156" w:afterLines="50"/>
        <w:jc w:val="center"/>
        <w:rPr>
          <w:rFonts w:hint="eastAsia" w:ascii="宋体" w:hAnsi="宋体" w:cs="宋体"/>
          <w:b/>
          <w:bCs/>
          <w:spacing w:val="40"/>
          <w:kern w:val="0"/>
          <w:sz w:val="44"/>
          <w:szCs w:val="44"/>
        </w:rPr>
      </w:pPr>
      <w:r>
        <w:rPr>
          <w:rFonts w:hint="eastAsia" w:ascii="宋体" w:hAnsi="宋体" w:cs="宋体"/>
          <w:b/>
          <w:bCs/>
          <w:spacing w:val="40"/>
          <w:kern w:val="0"/>
          <w:sz w:val="44"/>
          <w:szCs w:val="44"/>
        </w:rPr>
        <w:t>第三部分202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12.51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13</w:t>
      </w:r>
      <w:r>
        <w:rPr>
          <w:rFonts w:hint="eastAsia" w:ascii="仿宋_GB2312" w:eastAsia="仿宋_GB2312"/>
          <w:sz w:val="28"/>
          <w:szCs w:val="28"/>
        </w:rPr>
        <w:t>万元减少</w:t>
      </w:r>
      <w:r>
        <w:rPr>
          <w:rFonts w:hint="eastAsia" w:ascii="仿宋_GB2312" w:eastAsia="仿宋_GB2312"/>
          <w:sz w:val="28"/>
          <w:szCs w:val="28"/>
          <w:lang w:val="en-US" w:eastAsia="zh-CN"/>
        </w:rPr>
        <w:t>0.49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我单位无此项支出。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我单位无此项支出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12.51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12.60</w:t>
      </w:r>
      <w:r>
        <w:rPr>
          <w:rFonts w:hint="eastAsia" w:ascii="仿宋_GB2312" w:eastAsia="仿宋_GB2312"/>
          <w:sz w:val="28"/>
          <w:szCs w:val="28"/>
        </w:rPr>
        <w:t>万元减少</w:t>
      </w:r>
      <w:r>
        <w:rPr>
          <w:rFonts w:hint="eastAsia" w:ascii="仿宋_GB2312" w:eastAsia="仿宋_GB2312"/>
          <w:sz w:val="28"/>
          <w:szCs w:val="28"/>
          <w:lang w:val="en-US" w:eastAsia="zh-CN"/>
        </w:rPr>
        <w:t>0.09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本年度无此项支出</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12.51</w:t>
      </w:r>
      <w:r>
        <w:rPr>
          <w:rFonts w:hint="eastAsia" w:ascii="仿宋_GB2312" w:eastAsia="仿宋_GB2312"/>
          <w:sz w:val="28"/>
          <w:szCs w:val="28"/>
        </w:rPr>
        <w:t>万元，主要原因：厉行节约,严控“三公”经费支出，压缩单位公务用车运行维护费。202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1082.92</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628.63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754.29</w:t>
      </w:r>
      <w:r>
        <w:rPr>
          <w:rFonts w:hint="eastAsia" w:ascii="仿宋_GB2312" w:eastAsia="仿宋_GB2312"/>
          <w:sz w:val="28"/>
          <w:szCs w:val="28"/>
        </w:rPr>
        <w:t>万元。授予中小企业合同金额</w:t>
      </w:r>
      <w:r>
        <w:rPr>
          <w:rFonts w:ascii="仿宋_GB2312" w:eastAsia="仿宋_GB2312"/>
          <w:sz w:val="28"/>
          <w:szCs w:val="28"/>
        </w:rPr>
        <w:t>844.87</w:t>
      </w:r>
      <w:r>
        <w:rPr>
          <w:rFonts w:hint="eastAsia" w:ascii="仿宋_GB2312" w:eastAsia="仿宋_GB2312"/>
          <w:sz w:val="28"/>
          <w:szCs w:val="28"/>
        </w:rPr>
        <w:t>万元，占政府采购支出总额的</w:t>
      </w:r>
      <w:r>
        <w:rPr>
          <w:rFonts w:hint="eastAsia" w:ascii="仿宋_GB2312" w:eastAsia="仿宋_GB2312"/>
          <w:sz w:val="28"/>
          <w:szCs w:val="28"/>
          <w:lang w:eastAsia="zh-CN"/>
        </w:rPr>
        <w:t>78.02</w:t>
      </w:r>
      <w:r>
        <w:rPr>
          <w:rFonts w:hint="eastAsia" w:ascii="仿宋_GB2312" w:eastAsia="仿宋_GB2312"/>
          <w:sz w:val="28"/>
          <w:szCs w:val="28"/>
        </w:rPr>
        <w:t>%，其中：授予小微企业合同金额</w:t>
      </w:r>
      <w:r>
        <w:rPr>
          <w:rFonts w:ascii="仿宋_GB2312" w:eastAsia="仿宋_GB2312"/>
          <w:sz w:val="28"/>
          <w:szCs w:val="28"/>
        </w:rPr>
        <w:t>844.16</w:t>
      </w:r>
      <w:r>
        <w:rPr>
          <w:rFonts w:hint="eastAsia" w:ascii="仿宋_GB2312" w:eastAsia="仿宋_GB2312"/>
          <w:sz w:val="28"/>
          <w:szCs w:val="28"/>
        </w:rPr>
        <w:t>万元，占政府采购支出总额的</w:t>
      </w:r>
      <w:r>
        <w:rPr>
          <w:rFonts w:ascii="仿宋_GB2312" w:eastAsia="仿宋_GB2312"/>
          <w:sz w:val="28"/>
          <w:szCs w:val="28"/>
        </w:rPr>
        <w:t>77.95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12月31日，北京市大兴区融媒体中心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我</w:t>
      </w:r>
      <w:r>
        <w:rPr>
          <w:rFonts w:hint="eastAsia" w:ascii="仿宋_GB2312" w:eastAsia="仿宋_GB2312"/>
          <w:sz w:val="28"/>
          <w:szCs w:val="28"/>
          <w:lang w:eastAsia="zh-CN"/>
        </w:rPr>
        <w:t>单位无此项支出</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7.文化旅游体育与传媒支出（类）文化和旅游（款）其他文化和旅游支出（项）：反映其他用于文化和旅游方面的支出。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8.</w:t>
      </w:r>
      <w:r>
        <w:rPr>
          <w:rFonts w:hint="eastAsia" w:ascii="仿宋_GB2312" w:hAnsi="Times New Roman" w:eastAsia="仿宋_GB2312" w:cs="Times New Roman"/>
          <w:kern w:val="2"/>
          <w:sz w:val="28"/>
          <w:szCs w:val="28"/>
          <w:lang w:val="en-US" w:eastAsia="zh-CN" w:bidi="ar-SA"/>
        </w:rPr>
        <w:t>文化旅游体育与传媒支出（类）广播电视（款）广播电视事务（项）：反映广播电视台等的支出。</w:t>
      </w:r>
    </w:p>
    <w:p>
      <w:pPr>
        <w:numPr>
          <w:ilvl w:val="0"/>
          <w:numId w:val="0"/>
        </w:num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9.文化旅游体育与传媒支出（类）广播电视（款）其他广播电视支出（项）：反映其他用于广播电视方面的支出。</w:t>
      </w:r>
    </w:p>
    <w:p>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10.社会保障和就业支出（类）行政事业单位养老支出（款）事业单位离退休（项）：反映事业单位开支的离退休经费。</w:t>
      </w:r>
    </w:p>
    <w:p>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11.社会保障和就业支出（类）行政事业单位养老支出（款）机关事业单位基本养老保险缴费支出（项）：反映机关事业单位实施养老保险制度由单位缴纳的基本养老保险费支出。</w:t>
      </w:r>
    </w:p>
    <w:p>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12.社会保障和就业支出（类）行政事业单位养老支出（款）机关事业单位职业年金缴费支出（项）：反映机关事业单位实施养老保险制度由单位市级缴纳的职业年金支出。</w:t>
      </w:r>
    </w:p>
    <w:p>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14.卫生健康支出（类）行政事业单位医疗（款）公务员医疗补助（项）：反映财政部门安排的公务员医疗补助经费。</w:t>
      </w:r>
    </w:p>
    <w:p>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15.住房保障支出（类）住房改革支出（款）购房补贴（项）：反映按房改政策规定，行政事业单位项符合条件职工、军队项转役复原离退休人员发放的用于购买住房的补贴。</w:t>
      </w: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pStyle w:val="2"/>
        <w:rPr>
          <w:rFonts w:hint="eastAsia" w:ascii="仿宋" w:hAnsi="仿宋" w:eastAsia="仿宋" w:cs="仿宋"/>
          <w:sz w:val="28"/>
          <w:szCs w:val="28"/>
          <w:lang w:val="en-US" w:eastAsia="zh-CN"/>
        </w:rPr>
      </w:pPr>
    </w:p>
    <w:p>
      <w:pPr>
        <w:jc w:val="both"/>
        <w:rPr>
          <w:rFonts w:hint="eastAsia" w:ascii="黑体" w:eastAsia="黑体"/>
          <w:sz w:val="32"/>
          <w:szCs w:val="32"/>
        </w:rPr>
      </w:pPr>
    </w:p>
    <w:p>
      <w:pPr>
        <w:ind w:firstLine="1040" w:firstLineChars="200"/>
        <w:jc w:val="center"/>
        <w:rPr>
          <w:rFonts w:hint="eastAsia" w:ascii="黑体" w:eastAsia="黑体"/>
          <w:sz w:val="32"/>
          <w:szCs w:val="32"/>
        </w:rPr>
      </w:pPr>
      <w:r>
        <w:rPr>
          <w:rFonts w:hint="eastAsia" w:ascii="宋体" w:hAnsi="宋体" w:cs="宋体"/>
          <w:b/>
          <w:bCs/>
          <w:spacing w:val="40"/>
          <w:kern w:val="0"/>
          <w:sz w:val="44"/>
          <w:szCs w:val="44"/>
        </w:rPr>
        <w:t>第四部分  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___WRD_EMBED_SUB_56">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方正书宋_GBK">
    <w:altName w:val="微软雅黑"/>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DFKai-SB">
    <w:altName w:val="Microsoft JhengHei Light"/>
    <w:panose1 w:val="03000509000000000000"/>
    <w:charset w:val="88"/>
    <w:family w:val="auto"/>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_GB2312">
    <w:altName w:val="仿宋"/>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ACF0010" w:usb2="00000016" w:usb3="00000000" w:csb0="0004001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auto"/>
    <w:pitch w:val="default"/>
    <w:sig w:usb0="000002A7" w:usb1="28CF4400" w:usb2="00000016" w:usb3="00000000" w:csb0="00100009" w:csb1="00000000"/>
  </w:font>
  <w:font w:name="MingLiU_HKSCS-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 w:name="PMingLiU-ExtB">
    <w:panose1 w:val="02020500000000000000"/>
    <w:charset w:val="88"/>
    <w:family w:val="auto"/>
    <w:pitch w:val="default"/>
    <w:sig w:usb0="8000002F" w:usb1="02000008" w:usb2="00000000" w:usb3="00000000" w:csb0="00100001" w:csb1="00000000"/>
  </w:font>
  <w:font w:name="Yu Gothic Medium">
    <w:panose1 w:val="020B0500000000000000"/>
    <w:charset w:val="80"/>
    <w:family w:val="auto"/>
    <w:pitch w:val="default"/>
    <w:sig w:usb0="E00002FF" w:usb1="2AC7FDFF" w:usb2="00000016" w:usb3="00000000" w:csb0="2002009F" w:csb1="00000000"/>
  </w:font>
  <w:font w:name="Bahnschrift Light">
    <w:panose1 w:val="020B0502040204020203"/>
    <w:charset w:val="00"/>
    <w:family w:val="auto"/>
    <w:pitch w:val="default"/>
    <w:sig w:usb0="800002C7" w:usb1="00000002" w:usb2="00000000" w:usb3="00000000" w:csb0="2000019F" w:csb1="00000000"/>
  </w:font>
  <w:font w:name="Bahnschrift SemiBold SemiConden">
    <w:altName w:val="Bahnschrift"/>
    <w:panose1 w:val="00000000000000000000"/>
    <w:charset w:val="00"/>
    <w:family w:val="auto"/>
    <w:pitch w:val="default"/>
    <w:sig w:usb0="00000000" w:usb1="00000000" w:usb2="00000000" w:usb3="00000000" w:csb0="00000000" w:csb1="00000000"/>
  </w:font>
  <w:font w:name="Bahnschrift">
    <w:panose1 w:val="020B0502040204020203"/>
    <w:charset w:val="00"/>
    <w:family w:val="auto"/>
    <w:pitch w:val="default"/>
    <w:sig w:usb0="800002C7" w:usb1="00000002" w:usb2="00000000" w:usb3="00000000" w:csb0="2000019F" w:csb1="00000000"/>
  </w:font>
  <w:font w:name="Bahnschrift SemiLight SemiConde">
    <w:altName w:val="Bahnschrift"/>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Candara">
    <w:panose1 w:val="020E0502030303020204"/>
    <w:charset w:val="00"/>
    <w:family w:val="auto"/>
    <w:pitch w:val="default"/>
    <w:sig w:usb0="A00002EF" w:usb1="4000A44B" w:usb2="00000000" w:usb3="00000000" w:csb0="2000019F" w:csb1="00000000"/>
  </w:font>
  <w:font w:name="Candara Light">
    <w:panose1 w:val="020E0502030303020204"/>
    <w:charset w:val="00"/>
    <w:family w:val="auto"/>
    <w:pitch w:val="default"/>
    <w:sig w:usb0="A00002FF" w:usb1="00000002" w:usb2="00000000" w:usb3="00000000" w:csb0="0000019F" w:csb1="00000000"/>
  </w:font>
  <w:font w:name="Consolas">
    <w:panose1 w:val="020B0609020204030204"/>
    <w:charset w:val="00"/>
    <w:family w:val="auto"/>
    <w:pitch w:val="default"/>
    <w:sig w:usb0="E00006FF" w:usb1="0000FCFF" w:usb2="00000001" w:usb3="00000000" w:csb0="6000019F" w:csb1="DFD70000"/>
  </w:font>
  <w:font w:name="Constantia">
    <w:panose1 w:val="02030602050306030303"/>
    <w:charset w:val="00"/>
    <w:family w:val="auto"/>
    <w:pitch w:val="default"/>
    <w:sig w:usb0="A00002EF" w:usb1="4000204B" w:usb2="00000000" w:usb3="00000000" w:csb0="2000019F" w:csb1="00000000"/>
  </w:font>
  <w:font w:name="Corbel Light">
    <w:panose1 w:val="020B0303020204020204"/>
    <w:charset w:val="00"/>
    <w:family w:val="auto"/>
    <w:pitch w:val="default"/>
    <w:sig w:usb0="A00002EF" w:usb1="4000A44B" w:usb2="00000000" w:usb3="00000000" w:csb0="2000019F" w:csb1="00000000"/>
  </w:font>
  <w:font w:name="Corbel">
    <w:panose1 w:val="020B0503020204020204"/>
    <w:charset w:val="00"/>
    <w:family w:val="auto"/>
    <w:pitch w:val="default"/>
    <w:sig w:usb0="A00002EF" w:usb1="4000A44B" w:usb2="00000000" w:usb3="00000000" w:csb0="2000019F" w:csb1="00000000"/>
  </w:font>
  <w:font w:name="Franklin Gothic Medium">
    <w:panose1 w:val="020B0603020102020204"/>
    <w:charset w:val="00"/>
    <w:family w:val="auto"/>
    <w:pitch w:val="default"/>
    <w:sig w:usb0="00000287" w:usb1="00000000" w:usb2="00000000" w:usb3="00000000" w:csb0="2000009F" w:csb1="DFD70000"/>
  </w:font>
  <w:font w:name="Gabriola">
    <w:panose1 w:val="04040605051002020D02"/>
    <w:charset w:val="00"/>
    <w:family w:val="auto"/>
    <w:pitch w:val="default"/>
    <w:sig w:usb0="E00002EF" w:usb1="5000204B" w:usb2="00000000" w:usb3="00000000" w:csb0="2000009F" w:csb1="00000000"/>
  </w:font>
  <w:font w:name="Ink Free">
    <w:panose1 w:val="03080402000500000000"/>
    <w:charset w:val="00"/>
    <w:family w:val="auto"/>
    <w:pitch w:val="default"/>
    <w:sig w:usb0="80000003"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Marlett">
    <w:panose1 w:val="00000000000000000000"/>
    <w:charset w:val="00"/>
    <w:family w:val="auto"/>
    <w:pitch w:val="default"/>
    <w:sig w:usb0="00000000" w:usb1="00000000" w:usb2="00000000" w:usb3="00000000" w:csb0="80000000" w:csb1="00000000"/>
  </w:font>
  <w:font w:name="Microsoft Himalaya">
    <w:panose1 w:val="01010100010101010101"/>
    <w:charset w:val="00"/>
    <w:family w:val="auto"/>
    <w:pitch w:val="default"/>
    <w:sig w:usb0="80000003" w:usb1="00010000" w:usb2="00000040" w:usb3="00000000" w:csb0="00000001" w:csb1="00000000"/>
  </w:font>
  <w:font w:name="MT Extra">
    <w:panose1 w:val="05050102010205020202"/>
    <w:charset w:val="00"/>
    <w:family w:val="auto"/>
    <w:pitch w:val="default"/>
    <w:sig w:usb0="80000000" w:usb1="00000000" w:usb2="00000000" w:usb3="00000000" w:csb0="00000000" w:csb1="00000000"/>
  </w:font>
  <w:font w:name="Palatino Linotype">
    <w:panose1 w:val="02040502050505030304"/>
    <w:charset w:val="00"/>
    <w:family w:val="auto"/>
    <w:pitch w:val="default"/>
    <w:sig w:usb0="E0000287" w:usb1="40000013" w:usb2="00000000" w:usb3="00000000" w:csb0="2000019F" w:csb1="00000000"/>
  </w:font>
  <w:font w:name="Segoe UI Historic">
    <w:panose1 w:val="020B0502040204020203"/>
    <w:charset w:val="00"/>
    <w:family w:val="auto"/>
    <w:pitch w:val="default"/>
    <w:sig w:usb0="800001EF" w:usb1="02000002" w:usb2="0060C080" w:usb3="00000002" w:csb0="00000001" w:csb1="40000000"/>
  </w:font>
  <w:font w:name="Segoe UI Semilight">
    <w:panose1 w:val="020B0402040204020203"/>
    <w:charset w:val="00"/>
    <w:family w:val="auto"/>
    <w:pitch w:val="default"/>
    <w:sig w:usb0="E4002EFF" w:usb1="C000E47F" w:usb2="00000009" w:usb3="00000000" w:csb0="200001FF" w:csb1="00000000"/>
  </w:font>
  <w:font w:name="Nirmala UI Semilight">
    <w:panose1 w:val="020B0402040204020203"/>
    <w:charset w:val="00"/>
    <w:family w:val="auto"/>
    <w:pitch w:val="default"/>
    <w:sig w:usb0="80FF8023" w:usb1="0000004A" w:usb2="00000200" w:usb3="00040000" w:csb0="00000001" w:csb1="00000000"/>
  </w:font>
  <w:font w:name="Bahnschrift Light SemiCondensed">
    <w:panose1 w:val="020B0502040204020203"/>
    <w:charset w:val="00"/>
    <w:family w:val="auto"/>
    <w:pitch w:val="default"/>
    <w:sig w:usb0="800002C7" w:usb1="00000002" w:usb2="00000000" w:usb3="00000000" w:csb0="2000019F" w:csb1="00000000"/>
  </w:font>
  <w:font w:name="Malgun Gothic">
    <w:panose1 w:val="020B0503020000020004"/>
    <w:charset w:val="81"/>
    <w:family w:val="auto"/>
    <w:pitch w:val="default"/>
    <w:sig w:usb0="9000002F" w:usb1="29D77CFB" w:usb2="00000012" w:usb3="00000000" w:csb0="0008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D4AF84"/>
    <w:multiLevelType w:val="singleLevel"/>
    <w:tmpl w:val="68D4AF8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0910B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2F317598"/>
    <w:rsid w:val="301437CA"/>
    <w:rsid w:val="349D1F0A"/>
    <w:rsid w:val="34DD0473"/>
    <w:rsid w:val="3A8E35DC"/>
    <w:rsid w:val="3C684897"/>
    <w:rsid w:val="42736657"/>
    <w:rsid w:val="433E495C"/>
    <w:rsid w:val="489F2FD7"/>
    <w:rsid w:val="4AC27CB3"/>
    <w:rsid w:val="4BF72BEF"/>
    <w:rsid w:val="4FA90297"/>
    <w:rsid w:val="4FC41A43"/>
    <w:rsid w:val="51907DE1"/>
    <w:rsid w:val="51DB3C59"/>
    <w:rsid w:val="550C0952"/>
    <w:rsid w:val="55762E42"/>
    <w:rsid w:val="568F30E5"/>
    <w:rsid w:val="57A7B272"/>
    <w:rsid w:val="58470068"/>
    <w:rsid w:val="58747CAC"/>
    <w:rsid w:val="5A1720F9"/>
    <w:rsid w:val="5B9C37C2"/>
    <w:rsid w:val="5BA7C654"/>
    <w:rsid w:val="5DF716AE"/>
    <w:rsid w:val="5F9F507E"/>
    <w:rsid w:val="60A54109"/>
    <w:rsid w:val="61D01CDF"/>
    <w:rsid w:val="64C0607C"/>
    <w:rsid w:val="64E67DE2"/>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5875.97</c:v>
                </c:pt>
                <c:pt idx="1">
                  <c:v>0</c:v>
                </c:pt>
                <c:pt idx="2">
                  <c:v>0</c:v>
                </c:pt>
                <c:pt idx="3">
                  <c:v>0</c:v>
                </c:pt>
                <c:pt idx="4">
                  <c:v>0</c:v>
                </c:pt>
                <c:pt idx="5">
                  <c:v>9.2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4018.81</c:v>
                </c:pt>
                <c:pt idx="1">
                  <c:v>2240.97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2025-09-26T03:24:31Z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